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F6" w:rsidRDefault="00346EF6" w:rsidP="00346EF6">
      <w:pPr>
        <w:numPr>
          <w:ilvl w:val="0"/>
          <w:numId w:val="1"/>
        </w:numPr>
        <w:spacing w:after="0" w:line="240" w:lineRule="auto"/>
        <w:ind w:left="284" w:hanging="284"/>
        <w:jc w:val="both"/>
        <w:rPr>
          <w:rFonts w:ascii="Times New Roman" w:eastAsia="Times New Roman" w:hAnsi="Times New Roman" w:cs="Times New Roman"/>
          <w:b/>
          <w:i/>
        </w:rPr>
      </w:pPr>
      <w:r>
        <w:rPr>
          <w:rFonts w:ascii="Times New Roman" w:eastAsia="Times New Roman" w:hAnsi="Times New Roman" w:cs="Times New Roman"/>
          <w:b/>
          <w:i/>
        </w:rPr>
        <w:t>L</w:t>
      </w:r>
      <w:bookmarkStart w:id="0" w:name="_GoBack"/>
      <w:bookmarkEnd w:id="0"/>
      <w:r>
        <w:rPr>
          <w:rFonts w:ascii="Times New Roman" w:eastAsia="Times New Roman" w:hAnsi="Times New Roman" w:cs="Times New Roman"/>
          <w:b/>
          <w:i/>
        </w:rPr>
        <w:t>es ouvrages</w:t>
      </w:r>
    </w:p>
    <w:p w:rsidR="00346EF6" w:rsidRDefault="00346EF6" w:rsidP="00346EF6">
      <w:pPr>
        <w:spacing w:after="0" w:line="240" w:lineRule="auto"/>
        <w:ind w:left="426"/>
        <w:jc w:val="both"/>
        <w:rPr>
          <w:rFonts w:ascii="Times New Roman" w:eastAsia="Times New Roman" w:hAnsi="Times New Roman" w:cs="Times New Roman"/>
          <w:i/>
        </w:rPr>
      </w:pPr>
      <w:r>
        <w:rPr>
          <w:rFonts w:ascii="Times New Roman" w:eastAsia="Times New Roman" w:hAnsi="Times New Roman" w:cs="Times New Roman"/>
          <w:i/>
        </w:rPr>
        <w:t xml:space="preserve">La bibliothèque est issue en grande partie de la bibliothèque du gouvernement de la Martinique. Aussi, certains ouvrages, rares et précieux ont dû être rangés dans un emplacement spécifique appelé </w:t>
      </w:r>
      <w:r>
        <w:rPr>
          <w:rFonts w:ascii="Times New Roman" w:eastAsia="Times New Roman" w:hAnsi="Times New Roman" w:cs="Times New Roman"/>
          <w:b/>
          <w:i/>
        </w:rPr>
        <w:t xml:space="preserve">« </w:t>
      </w:r>
      <w:r>
        <w:rPr>
          <w:rFonts w:ascii="Times New Roman" w:eastAsia="Times New Roman" w:hAnsi="Times New Roman" w:cs="Times New Roman"/>
          <w:b/>
          <w:i/>
          <w:u w:val="single"/>
        </w:rPr>
        <w:t>La Réserve</w:t>
      </w:r>
      <w:r>
        <w:rPr>
          <w:rFonts w:ascii="Times New Roman" w:eastAsia="Times New Roman" w:hAnsi="Times New Roman" w:cs="Times New Roman"/>
          <w:b/>
          <w:i/>
        </w:rPr>
        <w:t xml:space="preserve"> ». </w:t>
      </w:r>
      <w:r>
        <w:rPr>
          <w:rFonts w:ascii="Times New Roman" w:eastAsia="Times New Roman" w:hAnsi="Times New Roman" w:cs="Times New Roman"/>
          <w:i/>
          <w:sz w:val="16"/>
        </w:rPr>
        <w:t xml:space="preserve"> </w:t>
      </w:r>
      <w:r>
        <w:rPr>
          <w:rFonts w:ascii="Times New Roman" w:eastAsia="Times New Roman" w:hAnsi="Times New Roman" w:cs="Times New Roman"/>
          <w:i/>
        </w:rPr>
        <w:t xml:space="preserve">La constitution de ce fonds tient compte de certains critères de sélection : la valeur, l’ancienneté, la rareté et l’auteur. Cette collection d’ouvrages s’enrichie au cours des années par des dons et des achats. Cette « Réserve » est constituée de plus de 440 ouvrages datant des XVIIe, XVIIIe XIXe et XXe siècles. Ces ouvrages abordent des thèmes variés, axés surtout sur l’histoire de la Martinique et de la région Antilles. Mais afin de préserver ce patrimoine littéraire, historique autant que bibliographique, l’accès à ces ouvrages est réservé aux chercheurs justifiant de la nécessité de consulter les originaux par demande écrite à la Directrice des Archives. Il existe des rééditions contemporaines de plusieurs des ouvrages de la réserve et la numérisation de ces ouvrages se substitueront progressivement aux originaux. </w:t>
      </w:r>
      <w:r>
        <w:rPr>
          <w:rFonts w:ascii="Times New Roman" w:eastAsia="Times New Roman" w:hAnsi="Times New Roman" w:cs="Times New Roman"/>
          <w:i/>
          <w:sz w:val="16"/>
        </w:rPr>
        <w:t>(Lien vers l’inventaire ou quelques ouvrages de la Réserve)</w:t>
      </w:r>
      <w:r>
        <w:rPr>
          <w:rFonts w:ascii="Times New Roman" w:eastAsia="Times New Roman" w:hAnsi="Times New Roman" w:cs="Times New Roman"/>
          <w:b/>
          <w:i/>
        </w:rPr>
        <w:t>.</w:t>
      </w:r>
      <w:r>
        <w:rPr>
          <w:rFonts w:ascii="Times New Roman" w:eastAsia="Times New Roman" w:hAnsi="Times New Roman" w:cs="Times New Roman"/>
          <w:i/>
        </w:rPr>
        <w:t xml:space="preserve"> </w:t>
      </w:r>
    </w:p>
    <w:p w:rsidR="00346EF6" w:rsidRDefault="00346EF6" w:rsidP="00346EF6">
      <w:pPr>
        <w:spacing w:after="0" w:line="240" w:lineRule="auto"/>
        <w:ind w:left="426"/>
        <w:jc w:val="both"/>
        <w:rPr>
          <w:rFonts w:ascii="Times New Roman" w:eastAsia="Times New Roman" w:hAnsi="Times New Roman" w:cs="Times New Roman"/>
          <w:i/>
        </w:rPr>
      </w:pPr>
      <w:r>
        <w:rPr>
          <w:rFonts w:ascii="Times New Roman" w:eastAsia="Times New Roman" w:hAnsi="Times New Roman" w:cs="Times New Roman"/>
          <w:i/>
        </w:rPr>
        <w:t xml:space="preserve">En plus de de la bibliothèque de </w:t>
      </w:r>
      <w:r>
        <w:rPr>
          <w:rFonts w:ascii="Times New Roman" w:eastAsia="Times New Roman" w:hAnsi="Times New Roman" w:cs="Times New Roman"/>
          <w:b/>
          <w:i/>
        </w:rPr>
        <w:t>la Réserve</w:t>
      </w:r>
      <w:r>
        <w:rPr>
          <w:rFonts w:ascii="Times New Roman" w:eastAsia="Times New Roman" w:hAnsi="Times New Roman" w:cs="Times New Roman"/>
          <w:i/>
        </w:rPr>
        <w:t xml:space="preserve">, coté en " </w:t>
      </w:r>
      <w:r>
        <w:rPr>
          <w:rFonts w:ascii="Times New Roman" w:eastAsia="Times New Roman" w:hAnsi="Times New Roman" w:cs="Times New Roman"/>
          <w:b/>
          <w:i/>
        </w:rPr>
        <w:t>RES</w:t>
      </w:r>
      <w:r>
        <w:rPr>
          <w:rFonts w:ascii="Times New Roman" w:eastAsia="Times New Roman" w:hAnsi="Times New Roman" w:cs="Times New Roman"/>
          <w:i/>
        </w:rPr>
        <w:t>. " nous disposons de deux collections d'ouvrages :</w:t>
      </w:r>
    </w:p>
    <w:p w:rsidR="00346EF6" w:rsidRDefault="00346EF6" w:rsidP="00346EF6">
      <w:pPr>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346EF6" w:rsidRDefault="00346EF6" w:rsidP="00346EF6">
      <w:pPr>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b/>
          <w:i/>
        </w:rPr>
        <w:t xml:space="preserve">L'ancienne collection </w:t>
      </w:r>
      <w:r>
        <w:rPr>
          <w:rFonts w:ascii="Times New Roman" w:eastAsia="Times New Roman" w:hAnsi="Times New Roman" w:cs="Times New Roman"/>
          <w:i/>
        </w:rPr>
        <w:t xml:space="preserve">entrée entre 1949 et 1969, régie par un cadre de classement thématique et cotée avec les lettres allant </w:t>
      </w:r>
      <w:proofErr w:type="gramStart"/>
      <w:r>
        <w:rPr>
          <w:rFonts w:ascii="Times New Roman" w:eastAsia="Times New Roman" w:hAnsi="Times New Roman" w:cs="Times New Roman"/>
          <w:i/>
        </w:rPr>
        <w:t>de A</w:t>
      </w:r>
      <w:proofErr w:type="gramEnd"/>
      <w:r>
        <w:rPr>
          <w:rFonts w:ascii="Times New Roman" w:eastAsia="Times New Roman" w:hAnsi="Times New Roman" w:cs="Times New Roman"/>
          <w:i/>
        </w:rPr>
        <w:t xml:space="preserve"> à L (</w:t>
      </w:r>
      <w:r>
        <w:rPr>
          <w:rFonts w:ascii="Times New Roman" w:eastAsia="Times New Roman" w:hAnsi="Times New Roman" w:cs="Times New Roman"/>
          <w:i/>
          <w:color w:val="000000"/>
          <w:sz w:val="16"/>
        </w:rPr>
        <w:t>Info bulle n°13)</w:t>
      </w:r>
      <w:r>
        <w:rPr>
          <w:rFonts w:ascii="Times New Roman" w:eastAsia="Times New Roman" w:hAnsi="Times New Roman" w:cs="Times New Roman"/>
          <w:i/>
        </w:rPr>
        <w:t>;</w:t>
      </w:r>
    </w:p>
    <w:p w:rsidR="00346EF6" w:rsidRDefault="00346EF6" w:rsidP="00346EF6">
      <w:pPr>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346EF6" w:rsidRDefault="00346EF6" w:rsidP="00346EF6">
      <w:pPr>
        <w:spacing w:after="0" w:line="240" w:lineRule="auto"/>
        <w:ind w:left="709"/>
        <w:jc w:val="both"/>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b/>
          <w:i/>
        </w:rPr>
        <w:t>La nouvelle collection</w:t>
      </w:r>
      <w:r>
        <w:rPr>
          <w:rFonts w:ascii="Times New Roman" w:eastAsia="Times New Roman" w:hAnsi="Times New Roman" w:cs="Times New Roman"/>
          <w:i/>
        </w:rPr>
        <w:t xml:space="preserve">, constituée à partir de 1969, cotée selon : </w:t>
      </w:r>
    </w:p>
    <w:p w:rsidR="00346EF6" w:rsidRDefault="00346EF6" w:rsidP="00346EF6">
      <w:pPr>
        <w:numPr>
          <w:ilvl w:val="0"/>
          <w:numId w:val="2"/>
        </w:numPr>
        <w:spacing w:after="0" w:line="240" w:lineRule="auto"/>
        <w:ind w:left="1429" w:hanging="293"/>
        <w:jc w:val="both"/>
        <w:rPr>
          <w:rFonts w:ascii="Times New Roman" w:eastAsia="Times New Roman" w:hAnsi="Times New Roman" w:cs="Times New Roman"/>
          <w:i/>
        </w:rPr>
      </w:pPr>
      <w:proofErr w:type="gramStart"/>
      <w:r>
        <w:rPr>
          <w:rFonts w:ascii="Times New Roman" w:eastAsia="Times New Roman" w:hAnsi="Times New Roman" w:cs="Times New Roman"/>
          <w:i/>
          <w:u w:val="single"/>
        </w:rPr>
        <w:t>son</w:t>
      </w:r>
      <w:proofErr w:type="gramEnd"/>
      <w:r>
        <w:rPr>
          <w:rFonts w:ascii="Times New Roman" w:eastAsia="Times New Roman" w:hAnsi="Times New Roman" w:cs="Times New Roman"/>
          <w:i/>
          <w:u w:val="single"/>
        </w:rPr>
        <w:t xml:space="preserve"> format</w:t>
      </w:r>
    </w:p>
    <w:p w:rsidR="00346EF6" w:rsidRDefault="00346EF6" w:rsidP="00346EF6">
      <w:pPr>
        <w:numPr>
          <w:ilvl w:val="0"/>
          <w:numId w:val="3"/>
        </w:numPr>
        <w:spacing w:after="0" w:line="240" w:lineRule="auto"/>
        <w:ind w:left="1429" w:hanging="9"/>
        <w:jc w:val="both"/>
        <w:rPr>
          <w:rFonts w:ascii="Times New Roman" w:eastAsia="Times New Roman" w:hAnsi="Times New Roman" w:cs="Times New Roman"/>
          <w:i/>
        </w:rPr>
      </w:pPr>
      <w:r>
        <w:rPr>
          <w:rFonts w:ascii="Times New Roman" w:eastAsia="Times New Roman" w:hAnsi="Times New Roman" w:cs="Times New Roman"/>
          <w:i/>
        </w:rPr>
        <w:t>8° ouvrages de moins de 25cm</w:t>
      </w:r>
    </w:p>
    <w:p w:rsidR="00346EF6" w:rsidRDefault="00346EF6" w:rsidP="00346EF6">
      <w:pPr>
        <w:numPr>
          <w:ilvl w:val="0"/>
          <w:numId w:val="3"/>
        </w:numPr>
        <w:spacing w:after="0" w:line="240" w:lineRule="auto"/>
        <w:ind w:left="1429" w:hanging="9"/>
        <w:jc w:val="both"/>
        <w:rPr>
          <w:rFonts w:ascii="Times New Roman" w:eastAsia="Times New Roman" w:hAnsi="Times New Roman" w:cs="Times New Roman"/>
          <w:i/>
        </w:rPr>
      </w:pPr>
      <w:r>
        <w:rPr>
          <w:rFonts w:ascii="Times New Roman" w:eastAsia="Times New Roman" w:hAnsi="Times New Roman" w:cs="Times New Roman"/>
          <w:i/>
        </w:rPr>
        <w:t>4° ouvrages entre 25 et 32 cm</w:t>
      </w:r>
    </w:p>
    <w:p w:rsidR="00346EF6" w:rsidRDefault="00346EF6" w:rsidP="00346EF6">
      <w:pPr>
        <w:numPr>
          <w:ilvl w:val="0"/>
          <w:numId w:val="3"/>
        </w:numPr>
        <w:spacing w:after="0" w:line="240" w:lineRule="auto"/>
        <w:ind w:left="1429" w:hanging="9"/>
        <w:jc w:val="both"/>
        <w:rPr>
          <w:rFonts w:ascii="Times New Roman" w:eastAsia="Times New Roman" w:hAnsi="Times New Roman" w:cs="Times New Roman"/>
          <w:i/>
        </w:rPr>
      </w:pPr>
      <w:r>
        <w:rPr>
          <w:rFonts w:ascii="Times New Roman" w:eastAsia="Times New Roman" w:hAnsi="Times New Roman" w:cs="Times New Roman"/>
          <w:i/>
        </w:rPr>
        <w:t>Fol° ouvrages supérieurs à 32 cm</w:t>
      </w:r>
    </w:p>
    <w:p w:rsidR="00346EF6" w:rsidRDefault="00346EF6" w:rsidP="00346EF6">
      <w:pPr>
        <w:spacing w:after="0" w:line="240" w:lineRule="auto"/>
        <w:ind w:left="1069"/>
        <w:jc w:val="both"/>
        <w:rPr>
          <w:rFonts w:ascii="Times New Roman" w:eastAsia="Times New Roman" w:hAnsi="Times New Roman" w:cs="Times New Roman"/>
          <w:i/>
          <w:sz w:val="6"/>
        </w:rPr>
      </w:pPr>
    </w:p>
    <w:p w:rsidR="00346EF6" w:rsidRDefault="00346EF6" w:rsidP="00346EF6">
      <w:pPr>
        <w:numPr>
          <w:ilvl w:val="0"/>
          <w:numId w:val="4"/>
        </w:numPr>
        <w:spacing w:after="0" w:line="240" w:lineRule="auto"/>
        <w:ind w:left="1429" w:hanging="293"/>
        <w:jc w:val="both"/>
        <w:rPr>
          <w:rFonts w:ascii="Times New Roman" w:eastAsia="Times New Roman" w:hAnsi="Times New Roman" w:cs="Times New Roman"/>
          <w:i/>
        </w:rPr>
      </w:pPr>
      <w:proofErr w:type="gramStart"/>
      <w:r>
        <w:rPr>
          <w:rFonts w:ascii="Times New Roman" w:eastAsia="Times New Roman" w:hAnsi="Times New Roman" w:cs="Times New Roman"/>
          <w:i/>
          <w:u w:val="single"/>
        </w:rPr>
        <w:t>sa</w:t>
      </w:r>
      <w:proofErr w:type="gramEnd"/>
      <w:r>
        <w:rPr>
          <w:rFonts w:ascii="Times New Roman" w:eastAsia="Times New Roman" w:hAnsi="Times New Roman" w:cs="Times New Roman"/>
          <w:i/>
          <w:u w:val="single"/>
        </w:rPr>
        <w:t xml:space="preserve"> nature</w:t>
      </w:r>
      <w:r>
        <w:rPr>
          <w:rFonts w:ascii="Times New Roman" w:eastAsia="Times New Roman" w:hAnsi="Times New Roman" w:cs="Times New Roman"/>
          <w:i/>
        </w:rPr>
        <w:t xml:space="preserve"> </w:t>
      </w:r>
    </w:p>
    <w:p w:rsidR="00346EF6" w:rsidRDefault="00346EF6" w:rsidP="00346EF6">
      <w:pPr>
        <w:numPr>
          <w:ilvl w:val="0"/>
          <w:numId w:val="5"/>
        </w:numPr>
        <w:spacing w:after="0" w:line="240" w:lineRule="auto"/>
        <w:ind w:left="1429" w:hanging="9"/>
        <w:jc w:val="both"/>
        <w:rPr>
          <w:rFonts w:ascii="Times New Roman" w:eastAsia="Times New Roman" w:hAnsi="Times New Roman" w:cs="Times New Roman"/>
          <w:i/>
        </w:rPr>
      </w:pPr>
      <w:proofErr w:type="gramStart"/>
      <w:r>
        <w:rPr>
          <w:rFonts w:ascii="Times New Roman" w:eastAsia="Times New Roman" w:hAnsi="Times New Roman" w:cs="Times New Roman"/>
          <w:i/>
        </w:rPr>
        <w:t>domaine</w:t>
      </w:r>
      <w:proofErr w:type="gramEnd"/>
      <w:r>
        <w:rPr>
          <w:rFonts w:ascii="Times New Roman" w:eastAsia="Times New Roman" w:hAnsi="Times New Roman" w:cs="Times New Roman"/>
          <w:i/>
        </w:rPr>
        <w:t xml:space="preserve"> administratif, économique, législatif et juridique</w:t>
      </w:r>
    </w:p>
    <w:p w:rsidR="00346EF6" w:rsidRDefault="00346EF6" w:rsidP="00346EF6">
      <w:pPr>
        <w:numPr>
          <w:ilvl w:val="0"/>
          <w:numId w:val="5"/>
        </w:numPr>
        <w:spacing w:after="0" w:line="240" w:lineRule="auto"/>
        <w:ind w:left="1429" w:hanging="9"/>
        <w:jc w:val="both"/>
        <w:rPr>
          <w:rFonts w:ascii="Times New Roman" w:eastAsia="Times New Roman" w:hAnsi="Times New Roman" w:cs="Times New Roman"/>
          <w:i/>
        </w:rPr>
      </w:pPr>
      <w:proofErr w:type="gramStart"/>
      <w:r>
        <w:rPr>
          <w:rFonts w:ascii="Times New Roman" w:eastAsia="Times New Roman" w:hAnsi="Times New Roman" w:cs="Times New Roman"/>
          <w:i/>
        </w:rPr>
        <w:t>domaine</w:t>
      </w:r>
      <w:proofErr w:type="gramEnd"/>
      <w:r>
        <w:rPr>
          <w:rFonts w:ascii="Times New Roman" w:eastAsia="Times New Roman" w:hAnsi="Times New Roman" w:cs="Times New Roman"/>
          <w:i/>
        </w:rPr>
        <w:t xml:space="preserve"> historique, géographique et littéraire </w:t>
      </w:r>
    </w:p>
    <w:p w:rsidR="00346EF6" w:rsidRDefault="00346EF6" w:rsidP="00346EF6">
      <w:pPr>
        <w:spacing w:after="0" w:line="240" w:lineRule="auto"/>
        <w:ind w:left="142"/>
        <w:jc w:val="both"/>
        <w:rPr>
          <w:rFonts w:ascii="Times New Roman" w:eastAsia="Times New Roman" w:hAnsi="Times New Roman" w:cs="Times New Roman"/>
          <w:i/>
        </w:rPr>
      </w:pPr>
      <w:r>
        <w:rPr>
          <w:rFonts w:ascii="Times New Roman" w:eastAsia="Times New Roman" w:hAnsi="Times New Roman" w:cs="Times New Roman"/>
          <w:i/>
        </w:rPr>
        <w:br/>
        <w:t>Nous recensons actuellement près de 10000 ouvrages acquis par dons, achats ou dépôt légal.</w:t>
      </w:r>
    </w:p>
    <w:p w:rsidR="00346EF6" w:rsidRDefault="00346EF6" w:rsidP="00346EF6">
      <w:pPr>
        <w:spacing w:after="0" w:line="240" w:lineRule="auto"/>
        <w:ind w:left="710"/>
        <w:jc w:val="both"/>
        <w:rPr>
          <w:rFonts w:ascii="Times New Roman" w:eastAsia="Times New Roman" w:hAnsi="Times New Roman" w:cs="Times New Roman"/>
          <w:i/>
        </w:rPr>
      </w:pPr>
    </w:p>
    <w:p w:rsidR="00346EF6" w:rsidRDefault="00346EF6" w:rsidP="00346EF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Certains titres ont été numérisés, en partie ou en intégralité, dans le cadre du programme </w:t>
      </w:r>
      <w:proofErr w:type="spellStart"/>
      <w:r>
        <w:rPr>
          <w:rFonts w:ascii="Times New Roman" w:eastAsia="Times New Roman" w:hAnsi="Times New Roman" w:cs="Times New Roman"/>
          <w:i/>
        </w:rPr>
        <w:t>Gallica</w:t>
      </w:r>
      <w:proofErr w:type="spellEnd"/>
      <w:r>
        <w:rPr>
          <w:rFonts w:ascii="Times New Roman" w:eastAsia="Times New Roman" w:hAnsi="Times New Roman" w:cs="Times New Roman"/>
          <w:i/>
        </w:rPr>
        <w:t xml:space="preserve">, bibliothèque numérique de la BNF et sont alors consultables sur le site de la BNF </w:t>
      </w:r>
      <w:hyperlink r:id="rId5">
        <w:r>
          <w:rPr>
            <w:rFonts w:ascii="Times New Roman" w:eastAsia="Times New Roman" w:hAnsi="Times New Roman" w:cs="Times New Roman"/>
            <w:i/>
            <w:color w:val="0000FF"/>
            <w:u w:val="single"/>
          </w:rPr>
          <w:t>www.gallica.bnf.fr</w:t>
        </w:r>
      </w:hyperlink>
      <w:r>
        <w:rPr>
          <w:rFonts w:ascii="Times New Roman" w:eastAsia="Times New Roman" w:hAnsi="Times New Roman" w:cs="Times New Roman"/>
          <w:i/>
        </w:rPr>
        <w:t xml:space="preserve"> </w:t>
      </w:r>
    </w:p>
    <w:p w:rsidR="00346EF6" w:rsidRDefault="00346EF6" w:rsidP="00346EF6">
      <w:pPr>
        <w:spacing w:after="0" w:line="240" w:lineRule="auto"/>
        <w:ind w:left="710"/>
        <w:jc w:val="both"/>
        <w:rPr>
          <w:rFonts w:ascii="Times New Roman" w:eastAsia="Times New Roman" w:hAnsi="Times New Roman" w:cs="Times New Roman"/>
          <w:i/>
        </w:rPr>
      </w:pPr>
    </w:p>
    <w:p w:rsidR="00346EF6" w:rsidRDefault="00346EF6" w:rsidP="00346EF6">
      <w:pPr>
        <w:spacing w:after="0" w:line="240" w:lineRule="auto"/>
        <w:ind w:left="710"/>
        <w:jc w:val="both"/>
        <w:rPr>
          <w:rFonts w:ascii="Times New Roman" w:eastAsia="Times New Roman" w:hAnsi="Times New Roman" w:cs="Times New Roman"/>
          <w:i/>
        </w:rPr>
      </w:pPr>
    </w:p>
    <w:p w:rsidR="00346EF6" w:rsidRDefault="00346EF6" w:rsidP="00346EF6">
      <w:pPr>
        <w:numPr>
          <w:ilvl w:val="0"/>
          <w:numId w:val="6"/>
        </w:numPr>
        <w:spacing w:after="0" w:line="240" w:lineRule="auto"/>
        <w:ind w:left="567" w:hanging="283"/>
        <w:jc w:val="both"/>
        <w:rPr>
          <w:rFonts w:ascii="Times New Roman" w:eastAsia="Times New Roman" w:hAnsi="Times New Roman" w:cs="Times New Roman"/>
          <w:i/>
        </w:rPr>
      </w:pPr>
      <w:r>
        <w:rPr>
          <w:rFonts w:ascii="Times New Roman" w:eastAsia="Times New Roman" w:hAnsi="Times New Roman" w:cs="Times New Roman"/>
          <w:b/>
          <w:i/>
        </w:rPr>
        <w:t>Des périodiques</w:t>
      </w:r>
      <w:r>
        <w:rPr>
          <w:rFonts w:ascii="Times New Roman" w:eastAsia="Times New Roman" w:hAnsi="Times New Roman" w:cs="Times New Roman"/>
          <w:i/>
        </w:rPr>
        <w:t xml:space="preserve">, cotés en " </w:t>
      </w:r>
      <w:r>
        <w:rPr>
          <w:rFonts w:ascii="Times New Roman" w:eastAsia="Times New Roman" w:hAnsi="Times New Roman" w:cs="Times New Roman"/>
          <w:b/>
          <w:i/>
        </w:rPr>
        <w:t xml:space="preserve">PER </w:t>
      </w:r>
      <w:r>
        <w:rPr>
          <w:rFonts w:ascii="Times New Roman" w:eastAsia="Times New Roman" w:hAnsi="Times New Roman" w:cs="Times New Roman"/>
          <w:i/>
        </w:rPr>
        <w:t xml:space="preserve">"suivi d'un numéro par titre de périodique. Les périodiques entrent à la Direction des Archives par abonnement, don ou par dépôt légal. On compte 1288 titres de périodiques dont les plus anciens : </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La Gazette des Petites Antilles (1774-1775)</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La Gazette de la Martinique (1803-1806)</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Les Antilles (1882-1901)</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Les Colonies (1885-1902)</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Statistiques coloniales (1897-1914)</w:t>
      </w:r>
    </w:p>
    <w:p w:rsidR="00346EF6" w:rsidRPr="00271BBF"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Revue française d’histoire d’Outre-mer (ex. revue de l’histoire des colonies françaises) (1913-2002)</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Bulletin mensuel pour servir l'histoire de la Martinique (1915-1916)</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Bulletin du Syndicat d’initiative de la Martinique (1925-1940)</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Justice (1939</w:t>
      </w:r>
      <w:proofErr w:type="gramStart"/>
      <w:r>
        <w:rPr>
          <w:rFonts w:ascii="Times New Roman" w:eastAsia="Times New Roman" w:hAnsi="Times New Roman" w:cs="Times New Roman"/>
          <w:i/>
        </w:rPr>
        <w:t xml:space="preserve"> ….</w:t>
      </w:r>
      <w:proofErr w:type="gramEnd"/>
      <w:r>
        <w:rPr>
          <w:rFonts w:ascii="Times New Roman" w:eastAsia="Times New Roman" w:hAnsi="Times New Roman" w:cs="Times New Roman"/>
          <w:i/>
        </w:rPr>
        <w:t>.</w:t>
      </w:r>
    </w:p>
    <w:p w:rsidR="00346EF6" w:rsidRDefault="00346EF6" w:rsidP="00346EF6">
      <w:pPr>
        <w:numPr>
          <w:ilvl w:val="0"/>
          <w:numId w:val="6"/>
        </w:numPr>
        <w:spacing w:after="0" w:line="240" w:lineRule="auto"/>
        <w:ind w:left="1068" w:firstLine="68"/>
        <w:jc w:val="both"/>
        <w:rPr>
          <w:rFonts w:ascii="Times New Roman" w:eastAsia="Times New Roman" w:hAnsi="Times New Roman" w:cs="Times New Roman"/>
          <w:i/>
        </w:rPr>
      </w:pPr>
      <w:r>
        <w:rPr>
          <w:rFonts w:ascii="Times New Roman" w:eastAsia="Times New Roman" w:hAnsi="Times New Roman" w:cs="Times New Roman"/>
          <w:i/>
        </w:rPr>
        <w:t>.........</w:t>
      </w:r>
    </w:p>
    <w:p w:rsidR="00346EF6" w:rsidRDefault="00346EF6" w:rsidP="00346EF6">
      <w:pPr>
        <w:spacing w:after="0" w:line="240" w:lineRule="auto"/>
        <w:jc w:val="both"/>
        <w:rPr>
          <w:rFonts w:ascii="Times New Roman" w:eastAsia="Times New Roman" w:hAnsi="Times New Roman" w:cs="Times New Roman"/>
          <w:i/>
        </w:rPr>
      </w:pPr>
    </w:p>
    <w:p w:rsidR="00346EF6" w:rsidRDefault="00346EF6" w:rsidP="00346EF6">
      <w:pPr>
        <w:numPr>
          <w:ilvl w:val="0"/>
          <w:numId w:val="7"/>
        </w:numPr>
        <w:spacing w:after="0" w:line="240" w:lineRule="auto"/>
        <w:ind w:left="567" w:hanging="360"/>
        <w:jc w:val="both"/>
        <w:rPr>
          <w:rFonts w:ascii="Times New Roman" w:eastAsia="Times New Roman" w:hAnsi="Times New Roman" w:cs="Times New Roman"/>
          <w:b/>
          <w:i/>
        </w:rPr>
      </w:pPr>
      <w:r>
        <w:rPr>
          <w:rFonts w:ascii="Times New Roman" w:eastAsia="Times New Roman" w:hAnsi="Times New Roman" w:cs="Times New Roman"/>
          <w:b/>
          <w:i/>
        </w:rPr>
        <w:t xml:space="preserve">Des publications officielles </w:t>
      </w:r>
      <w:r>
        <w:rPr>
          <w:rFonts w:ascii="Times New Roman" w:eastAsia="Times New Roman" w:hAnsi="Times New Roman" w:cs="Times New Roman"/>
          <w:i/>
        </w:rPr>
        <w:t xml:space="preserve">dont les plus anciens : </w:t>
      </w:r>
      <w:r>
        <w:rPr>
          <w:rFonts w:ascii="Times New Roman" w:eastAsia="Times New Roman" w:hAnsi="Times New Roman" w:cs="Times New Roman"/>
          <w:b/>
          <w:i/>
        </w:rPr>
        <w:t xml:space="preserve">BOM </w:t>
      </w:r>
      <w:r>
        <w:rPr>
          <w:rFonts w:ascii="Times New Roman" w:eastAsia="Times New Roman" w:hAnsi="Times New Roman" w:cs="Times New Roman"/>
          <w:i/>
        </w:rPr>
        <w:t xml:space="preserve">de 1828 et </w:t>
      </w:r>
      <w:r>
        <w:rPr>
          <w:rFonts w:ascii="Times New Roman" w:eastAsia="Times New Roman" w:hAnsi="Times New Roman" w:cs="Times New Roman"/>
          <w:b/>
          <w:i/>
        </w:rPr>
        <w:t xml:space="preserve">JOM </w:t>
      </w:r>
      <w:r>
        <w:rPr>
          <w:rFonts w:ascii="Times New Roman" w:eastAsia="Times New Roman" w:hAnsi="Times New Roman" w:cs="Times New Roman"/>
          <w:i/>
        </w:rPr>
        <w:t>de 1834</w:t>
      </w:r>
      <w:r>
        <w:rPr>
          <w:rFonts w:ascii="Times New Roman" w:eastAsia="Times New Roman" w:hAnsi="Times New Roman" w:cs="Times New Roman"/>
          <w:b/>
          <w:i/>
        </w:rPr>
        <w:t xml:space="preserve">. </w:t>
      </w:r>
    </w:p>
    <w:p w:rsidR="00346EF6" w:rsidRDefault="00346EF6" w:rsidP="00346EF6">
      <w:pPr>
        <w:spacing w:after="0" w:line="240" w:lineRule="auto"/>
        <w:jc w:val="both"/>
        <w:rPr>
          <w:rFonts w:ascii="Times New Roman" w:eastAsia="Times New Roman" w:hAnsi="Times New Roman" w:cs="Times New Roman"/>
          <w:b/>
          <w:i/>
        </w:rPr>
      </w:pPr>
    </w:p>
    <w:p w:rsidR="00346EF6" w:rsidRDefault="00346EF6" w:rsidP="00346EF6">
      <w:pPr>
        <w:numPr>
          <w:ilvl w:val="0"/>
          <w:numId w:val="8"/>
        </w:numPr>
        <w:spacing w:after="0" w:line="240" w:lineRule="auto"/>
        <w:ind w:left="567" w:hanging="360"/>
        <w:jc w:val="both"/>
        <w:rPr>
          <w:rFonts w:ascii="Times New Roman" w:eastAsia="Times New Roman" w:hAnsi="Times New Roman" w:cs="Times New Roman"/>
          <w:b/>
          <w:i/>
        </w:rPr>
      </w:pPr>
      <w:r>
        <w:rPr>
          <w:rFonts w:ascii="Times New Roman" w:eastAsia="Times New Roman" w:hAnsi="Times New Roman" w:cs="Times New Roman"/>
          <w:b/>
          <w:i/>
        </w:rPr>
        <w:t xml:space="preserve">Des brochures et dépliants : </w:t>
      </w:r>
      <w:r>
        <w:rPr>
          <w:rFonts w:ascii="Times New Roman" w:eastAsia="Times New Roman" w:hAnsi="Times New Roman" w:cs="Times New Roman"/>
          <w:i/>
        </w:rPr>
        <w:t xml:space="preserve">recensement de 1314 articles </w:t>
      </w:r>
      <w:r>
        <w:rPr>
          <w:rFonts w:ascii="Times New Roman" w:eastAsia="Times New Roman" w:hAnsi="Times New Roman" w:cs="Times New Roman"/>
          <w:i/>
          <w:sz w:val="20"/>
        </w:rPr>
        <w:t>et 110 boites traités en recueil en cours de traitement</w:t>
      </w:r>
      <w:r>
        <w:rPr>
          <w:rFonts w:ascii="Times New Roman" w:eastAsia="Times New Roman" w:hAnsi="Times New Roman" w:cs="Times New Roman"/>
          <w:i/>
          <w:color w:val="000000"/>
        </w:rPr>
        <w:t xml:space="preserve"> </w:t>
      </w:r>
    </w:p>
    <w:p w:rsidR="00346EF6" w:rsidRDefault="00346EF6" w:rsidP="00346EF6">
      <w:pPr>
        <w:spacing w:after="0" w:line="240" w:lineRule="auto"/>
        <w:ind w:left="1040"/>
        <w:jc w:val="both"/>
        <w:rPr>
          <w:rFonts w:ascii="Times New Roman" w:eastAsia="Times New Roman" w:hAnsi="Times New Roman" w:cs="Times New Roman"/>
          <w:i/>
        </w:rPr>
      </w:pPr>
    </w:p>
    <w:p w:rsidR="00346EF6" w:rsidRDefault="00346EF6" w:rsidP="00346EF6">
      <w:pPr>
        <w:numPr>
          <w:ilvl w:val="0"/>
          <w:numId w:val="9"/>
        </w:numPr>
        <w:spacing w:after="0" w:line="240" w:lineRule="auto"/>
        <w:ind w:left="567" w:hanging="360"/>
        <w:jc w:val="both"/>
        <w:rPr>
          <w:rFonts w:ascii="Times New Roman" w:eastAsia="Times New Roman" w:hAnsi="Times New Roman" w:cs="Times New Roman"/>
          <w:b/>
          <w:i/>
        </w:rPr>
      </w:pPr>
      <w:r>
        <w:rPr>
          <w:rFonts w:ascii="Times New Roman" w:eastAsia="Times New Roman" w:hAnsi="Times New Roman" w:cs="Times New Roman"/>
          <w:b/>
          <w:i/>
        </w:rPr>
        <w:t>Des éditions sonores et audiovisuelles recensement</w:t>
      </w:r>
      <w:r>
        <w:rPr>
          <w:rFonts w:ascii="Times New Roman" w:eastAsia="Times New Roman" w:hAnsi="Times New Roman" w:cs="Times New Roman"/>
          <w:i/>
        </w:rPr>
        <w:t xml:space="preserve"> de 21 DVD et près de 100 CD Rom</w:t>
      </w:r>
    </w:p>
    <w:p w:rsidR="00346EF6" w:rsidRDefault="00346EF6" w:rsidP="00346EF6">
      <w:pPr>
        <w:spacing w:after="0" w:line="240" w:lineRule="auto"/>
        <w:ind w:left="1040"/>
        <w:jc w:val="both"/>
        <w:rPr>
          <w:rFonts w:ascii="Times New Roman" w:eastAsia="Times New Roman" w:hAnsi="Times New Roman" w:cs="Times New Roman"/>
          <w:i/>
        </w:rPr>
      </w:pPr>
    </w:p>
    <w:p w:rsidR="00346EF6" w:rsidRDefault="00346EF6" w:rsidP="00346EF6">
      <w:pPr>
        <w:numPr>
          <w:ilvl w:val="0"/>
          <w:numId w:val="10"/>
        </w:numPr>
        <w:spacing w:after="0" w:line="240" w:lineRule="auto"/>
        <w:ind w:left="567" w:hanging="360"/>
        <w:jc w:val="both"/>
        <w:rPr>
          <w:rFonts w:ascii="Times New Roman" w:eastAsia="Times New Roman" w:hAnsi="Times New Roman" w:cs="Times New Roman"/>
          <w:b/>
          <w:i/>
        </w:rPr>
      </w:pPr>
      <w:r>
        <w:rPr>
          <w:rFonts w:ascii="Times New Roman" w:eastAsia="Times New Roman" w:hAnsi="Times New Roman" w:cs="Times New Roman"/>
          <w:b/>
          <w:i/>
        </w:rPr>
        <w:t xml:space="preserve">Des inventaires et guides, </w:t>
      </w:r>
      <w:r>
        <w:rPr>
          <w:rFonts w:ascii="Times New Roman" w:eastAsia="Times New Roman" w:hAnsi="Times New Roman" w:cs="Times New Roman"/>
          <w:i/>
        </w:rPr>
        <w:t>de services d’archives de France et de la Caraïbe</w:t>
      </w:r>
    </w:p>
    <w:p w:rsidR="00346EF6" w:rsidRDefault="00346EF6" w:rsidP="00346EF6">
      <w:pPr>
        <w:spacing w:after="0" w:line="240" w:lineRule="auto"/>
        <w:ind w:left="1068"/>
        <w:rPr>
          <w:rFonts w:ascii="Times New Roman" w:eastAsia="Times New Roman" w:hAnsi="Times New Roman" w:cs="Times New Roman"/>
          <w:b/>
          <w:i/>
        </w:rPr>
      </w:pPr>
    </w:p>
    <w:p w:rsidR="00346EF6" w:rsidRPr="006A029B" w:rsidRDefault="00346EF6" w:rsidP="00346EF6">
      <w:pPr>
        <w:numPr>
          <w:ilvl w:val="0"/>
          <w:numId w:val="11"/>
        </w:numPr>
        <w:spacing w:after="0" w:line="240" w:lineRule="auto"/>
        <w:ind w:left="567" w:hanging="360"/>
        <w:jc w:val="both"/>
        <w:rPr>
          <w:rFonts w:ascii="Times New Roman" w:eastAsia="Times New Roman" w:hAnsi="Times New Roman" w:cs="Times New Roman"/>
          <w:i/>
          <w:sz w:val="20"/>
          <w:szCs w:val="20"/>
        </w:rPr>
      </w:pPr>
      <w:r>
        <w:rPr>
          <w:rFonts w:ascii="Times New Roman" w:eastAsia="Times New Roman" w:hAnsi="Times New Roman" w:cs="Times New Roman"/>
          <w:b/>
          <w:i/>
        </w:rPr>
        <w:t>Des publications internes et/ou en partenariat</w:t>
      </w:r>
    </w:p>
    <w:p w:rsidR="00346EF6" w:rsidRDefault="00346EF6" w:rsidP="00346EF6">
      <w:pPr>
        <w:spacing w:after="0" w:line="240" w:lineRule="auto"/>
        <w:jc w:val="both"/>
        <w:rPr>
          <w:rFonts w:ascii="Times New Roman" w:eastAsia="Times New Roman" w:hAnsi="Times New Roman" w:cs="Times New Roman"/>
          <w:b/>
          <w:i/>
        </w:rPr>
      </w:pPr>
    </w:p>
    <w:p w:rsidR="00707CD3" w:rsidRDefault="00346EF6"/>
    <w:sectPr w:rsidR="00707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A25"/>
    <w:multiLevelType w:val="multilevel"/>
    <w:tmpl w:val="78DE8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86A39"/>
    <w:multiLevelType w:val="multilevel"/>
    <w:tmpl w:val="D4043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347E3"/>
    <w:multiLevelType w:val="multilevel"/>
    <w:tmpl w:val="0E64917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14567C"/>
    <w:multiLevelType w:val="multilevel"/>
    <w:tmpl w:val="49C43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446887"/>
    <w:multiLevelType w:val="multilevel"/>
    <w:tmpl w:val="AC583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B20EA"/>
    <w:multiLevelType w:val="multilevel"/>
    <w:tmpl w:val="C15A1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F24E79"/>
    <w:multiLevelType w:val="multilevel"/>
    <w:tmpl w:val="6AEA1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44349A"/>
    <w:multiLevelType w:val="multilevel"/>
    <w:tmpl w:val="920A1F6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2B05A6"/>
    <w:multiLevelType w:val="multilevel"/>
    <w:tmpl w:val="A4A0F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A5692C"/>
    <w:multiLevelType w:val="multilevel"/>
    <w:tmpl w:val="04D23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D13FF9"/>
    <w:multiLevelType w:val="multilevel"/>
    <w:tmpl w:val="D5968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6"/>
  </w:num>
  <w:num w:numId="5">
    <w:abstractNumId w:val="2"/>
  </w:num>
  <w:num w:numId="6">
    <w:abstractNumId w:val="9"/>
  </w:num>
  <w:num w:numId="7">
    <w:abstractNumId w:val="5"/>
  </w:num>
  <w:num w:numId="8">
    <w:abstractNumId w:val="0"/>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F6"/>
    <w:rsid w:val="00220644"/>
    <w:rsid w:val="00346EF6"/>
    <w:rsid w:val="0050486C"/>
    <w:rsid w:val="00B336ED"/>
    <w:rsid w:val="00DC5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17BE"/>
  <w15:chartTrackingRefBased/>
  <w15:docId w15:val="{F35A1F96-1A53-4D3A-874D-034EE115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EF6"/>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llica.bnf.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VAUDRAN-CADDY Michele</dc:creator>
  <cp:keywords/>
  <dc:description/>
  <cp:lastModifiedBy>VAUDRAN-CADDY Michele</cp:lastModifiedBy>
  <cp:revision>1</cp:revision>
  <dcterms:created xsi:type="dcterms:W3CDTF">2024-10-19T20:17:00Z</dcterms:created>
  <dcterms:modified xsi:type="dcterms:W3CDTF">2024-10-19T20:19:00Z</dcterms:modified>
</cp:coreProperties>
</file>